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Navigating Virginia's Eviction Diversion Program</w:t>
      </w:r>
    </w:p>
    <w:p>
      <w:pPr>
        <w:pStyle w:val="script"/>
      </w:pPr>
      <w:r>
        <w:rPr>
          <w:b/>
          <w:bCs/>
          <w:color w:val="4099ED"/>
        </w:rPr>
        <w:t xml:space="preserve">Sidney Washington:</w:t>
      </w:r>
      <w:r>
        <w:t xml:space="preserve"> </w:t>
      </w:r>
      <w:r>
        <w:rPr>
          <w:color w:val="808080"/>
        </w:rPr>
        <w:t xml:space="preserve">[00:00:00]</w:t>
      </w:r>
      <w:r>
        <w:t xml:space="preserve"> Welcome back to our twenty twenty-six Legislative Update series. My name is Sidney Washington. In this update, we are discussing an important change to Virginia's Eviction Diversion Program.</w:t>
      </w:r>
    </w:p>
    <w:p>
      <w:pPr>
        <w:pStyle w:val="script"/>
      </w:pPr>
      <w:r>
        <w:t xml:space="preserve">First, it is important to remember that the Eviction Diversion Program is the court-ordered payment plan program. Also, not every jurisdiction has implemented the program, so housing providers should confirm how their local general district court is handling these cases. Under the new law, any general district court that implements the Eviction Diversion Program must attach information about the program, including the eligibility criteria to the summons for unlawful detainer.</w:t>
      </w:r>
    </w:p>
    <w:p>
      <w:pPr>
        <w:pStyle w:val="script"/>
      </w:pPr>
      <w:r>
        <w:t xml:space="preserve">That means tenants should receive notice of the program and what is required at least ten days before the first court date. Now, let's get into some more of the general requirements. First, the tenant must appear at the first docket call. If the tenant does not appear at that first appearance, they do not </w:t>
      </w:r>
      <w:r>
        <w:rPr>
          <w:color w:val="808080"/>
        </w:rPr>
        <w:t xml:space="preserve">[00:01:00]</w:t>
      </w:r>
      <w:r>
        <w:t xml:space="preserve"> qualify to enter the program.</w:t>
      </w:r>
    </w:p>
    <w:p>
      <w:pPr>
        <w:pStyle w:val="script"/>
      </w:pPr>
      <w:r>
        <w:t xml:space="preserve">Second, the tenant must provide sworn testimony that they have income or sufficient funds to make the payments and explain the reasons for being unable to make them in the past. They also cannot have participated in the eviction diversion program in the last twelve months, as well as defaulted under any other company payment plan within the last twelve months Finally, the payment structure is changing. Previously, the tenant was required to pay twenty-five percent of the amount due at the first court date.</w:t>
      </w:r>
    </w:p>
    <w:p>
      <w:pPr>
        <w:pStyle w:val="script"/>
      </w:pPr>
      <w:r>
        <w:t xml:space="preserve">Under this new update, the tenant will only be required to pay ten percent of the amount due at the first hearing. The remaining balance is then paid in three installments of thirty percent each over the following three months before the fifth of the month. The tenant must stay current on ongoing rent during the payment plan.</w:t>
      </w:r>
    </w:p>
    <w:p>
      <w:pPr>
        <w:pStyle w:val="script"/>
      </w:pPr>
      <w:r>
        <w:t xml:space="preserve">For housing providers, the key takeaway is preparation. Make sure your ledgers are accurate, your court paperwork reflects the </w:t>
      </w:r>
      <w:r>
        <w:rPr>
          <w:color w:val="808080"/>
        </w:rPr>
        <w:t xml:space="preserve">[00:02:00]</w:t>
      </w:r>
      <w:r>
        <w:t xml:space="preserve"> correct balance, and your team knows whether the court you are filing in participates in the eviction diversion program and if the tenant you are filing on is prevented from entering the program.</w:t>
      </w:r>
    </w:p>
    <w:p>
      <w:pPr>
        <w:pStyle w:val="script"/>
      </w:pPr>
      <w:r>
        <w:t xml:space="preserve">If the tenant completes the plan, the unlawful detainer is dismissed as satisfied. If the tenant defaults or fails to stay current, the landlord can simply notify the court and request possession without an additional hearing. So this update changes the process and creates more opportunities for eligible tenants to avoid eviction if they comply with the court-ordered plan.</w:t>
      </w:r>
    </w:p>
    <w:p>
      <w:pPr>
        <w:pStyle w:val="script"/>
      </w:pPr>
      <w:r>
        <w:t xml:space="preserve">Stay tuned. In our next update, we'll continue breaking down some of the big Virginia changes housing providers need to know for 2026.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Navigating Virginia's Eviction Diversion Program</dc:title>
  <dc:creator>Un-named</dc:creator>
  <cp:lastModifiedBy>Un-named</cp:lastModifiedBy>
  <cp:revision>1</cp:revision>
  <dcterms:created xsi:type="dcterms:W3CDTF">2026-10-09T18:00:52.462Z</dcterms:created>
  <dcterms:modified xsi:type="dcterms:W3CDTF">2026-10-09T18:00:52.462Z</dcterms:modified>
</cp:coreProperties>
</file>

<file path=docProps/custom.xml><?xml version="1.0" encoding="utf-8"?>
<Properties xmlns="http://schemas.openxmlformats.org/officeDocument/2006/custom-properties" xmlns:vt="http://schemas.openxmlformats.org/officeDocument/2006/docPropsVTypes"/>
</file>